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E95" w:rsidRPr="008E6E95" w:rsidRDefault="008E6E95" w:rsidP="008E6E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  <w:bookmarkStart w:id="0" w:name="_GoBack"/>
      <w:bookmarkEnd w:id="0"/>
      <w:r w:rsidRPr="008E6E9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CV </w:t>
      </w:r>
      <w:r w:rsidRPr="008E6E95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Jacopo Pellegrini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Studi musicali svolti privatamente, presso l’Istituto musicale pareggiato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Boccherini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Lucca e il Conservatorio statale Cherubini di Firenze.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Studi superiori e universitari (Facoltà di Lettere e filosofia) a Firenze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Dal 2000 al 2008 è stato professore a contratto di Metodologia della ricerca musicale presso il Dipartimento di Storia delle arti e Conservazione dei beni artistici dell’Università Ca’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Foscari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Venezia. 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Ha collaborato con le cattedre di storia della musica delle Università di Pisa e Firenze (progetto di ricerca e catalogazione delle riviste musicali italiane del Novecento).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Attualmente docente di Forme e metodologia della comunicazione musicale presso l'Università Roma3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A partire dal 1988 ha esercitato l’attività di critico musicale e di giornalista culturale su quotidiani, periodici e riviste specializzate («Il Tirreno», «Il manifesto», «Avvenire» – titolare della rubrica musicale dal 2000 al 2003 –, «Liberal quotidiano», «L’espresso», «Amadeus», «Piano Time», «CD classica», «Classic Voice», «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Opéra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Magazine»); attualmente collabora al quotidiano «Il foglio».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Tra il 1992 e il 2001 ha lavorato per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RadioRai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come ideatore, autore e conduttore di trasmissioni culturali e musicali su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RadioUno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(un ciclo di trasmissioni su Maria Callas nel ventennale della morte, 1997),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RadioDue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e, soprattutto,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RadioTre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(Passione incompiuta, Appunti di volo, Mattino tre,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Radiotre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Suite, Calma di mare, ecc.); sempre per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RadioTre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ha realizzato una nuova trasmissione su Maria Callas (2007) e un ciclo di venti puntate su Giacomo Puccini nel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centocinquantenario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della nascita (2008).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Negli anni 2003-2005 ha curato le edizioni del Festival Verdi di Parma e i cicli di conferenze di presentazione per le opere e i concerti del Teatro Regio nella stessa città. Dal 2012 al 2017 ha collabora all’edizione dei programmi di sala per il Teatro Municipale di Piacenza.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Ha tenuto e tiene conferenze presso le più importanti istituzioni musicali (Teatro alla Scala, Milano; Accademia di Santa Cecilia, Roma; Teatro dell’Opera, Roma; Teatro Lirico, Cagliari; Teatro Carlo Felice, Genova; Teatro Massimo, Palermo; Teatro Regio, Torino; Teatro Comunale, Firenze; Fondazione Arena di Verona; Teatro La Fenice, Venezia; Teatro Comunale, Bologna; Teatro Regio, Parma; Teatro Comunale, Modena; Fondazione Donizetti, Bergamo; Festival Pontino, Latina, ecc.) e culturali (Fondazione Zeri, Bologna-Mentana; Associazione Il Saggiatore musicale, Bologna; Académie de France, Roma; Università di Firenze, Pisa, Padova, ecc.) italiane.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Suoi scritti sono comparsi nei programmi di sala dei seguenti teatri e istituzioni musicali: Teatro alla Scala, Milano; Teatro Regio, Parma; Teatro Regio, Torino; Teatro Comunale, Bologna; Teatro Comunale, Firenze; Teatro Massimo, Palermo; Teatro dell’Opera, Roma; Teatro Lirico, Cagliari; Teatro Massimo Bellini, Catania; Teatro di S. Carlo, Napoli; Teatro Verdi, Trieste; Teatro Municipale, Piacenza; Teatro del Giglio, Lucca; Orchestra Filarmonica della Scala; Festival dei due mondi, Spoleto; Bolzano Festival; Ravenna Festival; Accademia filarmonica romana, ecc.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Ha organizzato e/o preso parte a convegni di studi su: Wolfgang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Amadé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Mozart, Alfredo Catalani, Gustave Flaubert, Giacomo Puccini (Milano 2008, Lucca 2008, Palermo 2010), Ruggiero Leoncavallo, Luigi Illica, la romanza da camera italiana dell’Ottocento, Gabriele d’Annunzio e la musica, Ildebrando Pizzetti, Luigi Dallapiccola,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Gianandrea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Gavazzeni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il mito nell’arte del Novecento, Maria Callas, Gian Carlo Menotti, Fedele d’Amico, Nino Rota, Felix Mendelssohn-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Bartholdy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Richard Wagner, ecc.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Per l’Associazione Musica Scuola ha curato il volume miscellaneo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Manon, sfinge meravigliosa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 (Palermo, 1999); per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 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l’editore Maria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Pacini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Fazzi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la raccolta degli scritti pucciniani di Fedele d’Amico (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L’albero del bene e del male. Naturalismo e decadentismo in Puccini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Lucca 2000); per EDT una </w:t>
      </w:r>
      <w:proofErr w:type="spellStart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Festschrift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in omaggio a Mario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Bortolotto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(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Vivere senza paura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con Guido Zaccagnini, Torino 2007); per LIM, il volume di saggi di autori vari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Tanti affetti intorno al core di (Mari)Piera Mantovani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(Lucca 2017), e una raccolta di studi otto-novecenteschi di Cesare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Orselli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Un Pantheon in crisi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(Lucca 2019); per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Quodlibet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i volumi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Mille e una Callas. Voci e studi 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(con Luca Aversano, Macerata 2016 e, seconda edizione, 2017; Premio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Abbiati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della critica musicale italiana 2018), e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L’infido maestro insostituibile. Per Mario </w:t>
      </w:r>
      <w:proofErr w:type="spellStart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Bortolotto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(Macerata 2019); per Adelphi la raccolta di scritti di Mario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Bortolotto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Il viandante musicale 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(Milano 2018); per La lepre il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livìbro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La musica di Bengodi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 (Roma 2019). Ha curato la pubblicazione a puntate nella rivista «Venezia musica e dintorni» di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 Il provetto stregone. Mario </w:t>
      </w:r>
      <w:proofErr w:type="spellStart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Bortolotto</w:t>
      </w:r>
      <w:proofErr w:type="spellEnd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e le vie della musicologia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atti di un Convegno tenutosi a Latina nel 2007, integrati con nuovi interventi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ad hoc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sulla figura dello studioso </w:t>
      </w:r>
      <w:proofErr w:type="gram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friulano .</w:t>
      </w:r>
      <w:proofErr w:type="gramEnd"/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Ha in preparazione la curatela di alcuni testi di critica pucciniana coeva al compositore (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Pacini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Fazzi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Lucca), degli atti di un convegno internazionale su Arturo Benedetti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Michelangeli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(con Luca Aversano,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Quodlibet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Macerata), degli atti di un convegno internazionale su Gian Carlo Menotti (LIM, Lucca), degli atti di un convegno internazionale su Fedele d’Amico (Accademia di Santa Cecilia, Roma).</w:t>
      </w: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E6E95" w:rsidRPr="008E6E95" w:rsidRDefault="008E6E95" w:rsidP="008E6E9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Tra i saggi pubblicati in volume, ricordiamo quelli su Luigi Dallapiccola (in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Luigi Dallapiccola nel suo secolo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atti del Convegno internazionale di studi – Firenze, 10-12 dicembre 2004 –, a cura di Fiamma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Nicolodi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Olschki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Firenze 2007), sui rapporti tra drammaturgia musicale e scenografia (in Michele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Canzoneri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 </w:t>
      </w:r>
      <w:proofErr w:type="spellStart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Konvolut</w:t>
      </w:r>
      <w:proofErr w:type="spellEnd"/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. Biblioteca infinita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a cura di Anna Li </w:t>
      </w:r>
      <w:proofErr w:type="spellStart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Vigni</w:t>
      </w:r>
      <w:proofErr w:type="spellEnd"/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Silvana editoriale, Milano 2010), sull’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Aida 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di Giuseppe Verdi («Annali. Arte musica spettacolo», Università degli studi di Firenze, XI, 2010), su Emilia Zanetti critico musicale della «Fiera letteraria» (in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Musicologia come pretesto. Scritti in memoria di Emilia Zanetti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, a cura di Tiziana Affortunato, Istituto italiano per la storia della musica, Roma 2011), su </w:t>
      </w:r>
      <w:r w:rsidRPr="008E6E95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Zazà</w:t>
      </w:r>
      <w:r w:rsidRPr="008E6E95">
        <w:rPr>
          <w:rFonts w:ascii="Times New Roman" w:eastAsia="Times New Roman" w:hAnsi="Times New Roman" w:cs="Times New Roman"/>
          <w:sz w:val="21"/>
          <w:szCs w:val="21"/>
          <w:lang w:eastAsia="it-IT"/>
        </w:rPr>
        <w:t> di Leoncavallo, su Bruno Campanella, ecc.</w:t>
      </w:r>
    </w:p>
    <w:p w:rsidR="00470474" w:rsidRDefault="00470474"/>
    <w:sectPr w:rsidR="00470474" w:rsidSect="008A2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95"/>
    <w:rsid w:val="00470474"/>
    <w:rsid w:val="008A2942"/>
    <w:rsid w:val="008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95215"/>
  <w15:chartTrackingRefBased/>
  <w15:docId w15:val="{78261F6D-BDF2-0341-A8E7-4F852AA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Petruzzelli</dc:creator>
  <cp:keywords/>
  <dc:description/>
  <cp:lastModifiedBy>Fondazione Petruzzelli</cp:lastModifiedBy>
  <cp:revision>1</cp:revision>
  <dcterms:created xsi:type="dcterms:W3CDTF">2022-06-16T13:40:00Z</dcterms:created>
  <dcterms:modified xsi:type="dcterms:W3CDTF">2022-06-16T13:40:00Z</dcterms:modified>
</cp:coreProperties>
</file>