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66" w:rsidRDefault="0046192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Cs/>
          <w:color w:val="00000A"/>
          <w:sz w:val="21"/>
          <w:szCs w:val="21"/>
          <w:lang w:eastAsia="it-IT"/>
        </w:rPr>
        <w:t>Allegato 2 bis</w:t>
      </w:r>
      <w:bookmarkStart w:id="0" w:name="_GoBack"/>
      <w:bookmarkEnd w:id="0"/>
    </w:p>
    <w:p w:rsidR="00130D66" w:rsidRDefault="00D478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  <w:lang w:eastAsia="it-IT"/>
        </w:rPr>
        <w:t>(Su carta intestata dell’operatore economico)</w:t>
      </w:r>
    </w:p>
    <w:p w:rsidR="00130D66" w:rsidRDefault="00130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</w:p>
    <w:p w:rsidR="00130D66" w:rsidRDefault="00D47829">
      <w:pPr>
        <w:widowControl w:val="0"/>
        <w:spacing w:after="0"/>
        <w:ind w:left="340" w:right="-6" w:hanging="340"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1"/>
          <w:szCs w:val="21"/>
          <w:lang w:eastAsia="it-IT"/>
        </w:rPr>
        <w:t xml:space="preserve">la presente </w:t>
      </w: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 xml:space="preserve">dichiarazione deve essere resa da: </w:t>
      </w:r>
    </w:p>
    <w:p w:rsidR="00130D66" w:rsidRDefault="00D47829">
      <w:pPr>
        <w:widowControl w:val="0"/>
        <w:spacing w:after="0"/>
        <w:ind w:left="340" w:right="-6" w:hanging="340"/>
        <w:jc w:val="both"/>
      </w:pP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 xml:space="preserve"> - titolare e direttore tecnico, se si tratta di impresa individuale; </w:t>
      </w:r>
    </w:p>
    <w:p w:rsidR="00130D66" w:rsidRDefault="00D47829">
      <w:pPr>
        <w:widowControl w:val="0"/>
        <w:spacing w:after="0"/>
        <w:ind w:left="340" w:right="-6" w:hanging="340"/>
        <w:jc w:val="both"/>
      </w:pP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 xml:space="preserve">- socio e direttore tecnico, se si tratta di società in nome collettivo; </w:t>
      </w:r>
    </w:p>
    <w:p w:rsidR="00130D66" w:rsidRDefault="00D47829">
      <w:pPr>
        <w:widowControl w:val="0"/>
        <w:spacing w:after="0"/>
        <w:ind w:left="340" w:right="-6" w:hanging="340"/>
        <w:jc w:val="both"/>
      </w:pP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 xml:space="preserve">- </w:t>
      </w: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 xml:space="preserve">soci accomandatari e direttore tecnico, se si tratta di società in accomandita semplice; </w:t>
      </w:r>
    </w:p>
    <w:p w:rsidR="00130D66" w:rsidRDefault="00D47829">
      <w:pPr>
        <w:widowControl w:val="0"/>
        <w:spacing w:after="0"/>
        <w:jc w:val="both"/>
      </w:pP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>membri del consiglio di amministrazione cui sia stata conferita la legale rappresentanza ivi compresi institori e procuratori generali, membri degli organi con poteri</w:t>
      </w: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 xml:space="preserve"> di direzione o di vigilanza e soggetti muniti di poteri di rappresentanza, di direzione o di controllo, direttore tecnico e socio unico persona fisica, ovvero socio di maggioranza in caso di società con meno di quattro soci, se si tratta di altro tipo di </w:t>
      </w:r>
      <w:r>
        <w:rPr>
          <w:rFonts w:ascii="Times New Roman" w:eastAsia="HiraKakuProN-W3" w:hAnsi="Times New Roman" w:cs="Times-Roman"/>
          <w:b/>
          <w:bCs/>
          <w:i/>
          <w:iCs/>
          <w:color w:val="FF0000"/>
          <w:sz w:val="20"/>
          <w:szCs w:val="20"/>
          <w:lang w:eastAsia="it-IT"/>
        </w:rPr>
        <w:t>società o consorzio)</w:t>
      </w:r>
    </w:p>
    <w:p w:rsidR="00130D66" w:rsidRDefault="00130D66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</w:pPr>
    </w:p>
    <w:p w:rsidR="00130D66" w:rsidRDefault="00D478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Spett.le Fondazione lirico sinfonica Petruzzelli e Teatri di Bari</w:t>
      </w:r>
    </w:p>
    <w:p w:rsidR="00130D66" w:rsidRDefault="00D4782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>Strada San Benedetto n. 15</w:t>
      </w:r>
    </w:p>
    <w:p w:rsidR="00130D66" w:rsidRDefault="00D4782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it-IT"/>
        </w:rPr>
        <w:tab/>
        <w:t xml:space="preserve">70122 – Bari </w:t>
      </w:r>
    </w:p>
    <w:p w:rsidR="00130D66" w:rsidRDefault="00130D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</w:p>
    <w:p w:rsidR="00130D66" w:rsidRDefault="00D47829">
      <w:pPr>
        <w:widowControl w:val="0"/>
        <w:spacing w:before="120" w:after="120" w:line="288" w:lineRule="auto"/>
        <w:ind w:left="1190" w:hanging="1190"/>
        <w:jc w:val="both"/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 xml:space="preserve">OGGETTO: Procedura negoziata sotto soglia ai sensi dell’art. 36, c. 2,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>lett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 xml:space="preserve">. b) del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 xml:space="preserve"> n. 50/16, per </w:t>
      </w:r>
      <w:r>
        <w:rPr>
          <w:rFonts w:ascii="Times New Roman" w:eastAsia="Times New Roman" w:hAnsi="Times New Roman" w:cs="Arial"/>
          <w:b/>
          <w:color w:val="00000A"/>
          <w:sz w:val="21"/>
          <w:szCs w:val="20"/>
          <w:lang w:eastAsia="it-IT"/>
        </w:rPr>
        <w:t>l’affidamento del servizio di trasporto nazionale ed intracomunitario di allestimenti scenici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>
        <w:rPr>
          <w:rFonts w:ascii="Times New Roman" w:eastAsia="Times New Roman" w:hAnsi="Times New Roman" w:cs="Arial"/>
          <w:b/>
          <w:color w:val="00000A"/>
          <w:sz w:val="21"/>
          <w:szCs w:val="20"/>
          <w:lang w:eastAsia="it-IT"/>
        </w:rPr>
        <w:t>relativamente alla Stagione Petruzzelli 2017</w:t>
      </w:r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>.</w:t>
      </w:r>
    </w:p>
    <w:p w:rsidR="00130D66" w:rsidRDefault="00D4782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 xml:space="preserve">Autocertificazione requisiti soggetti ex art. 80 comma 3 del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b/>
          <w:bCs/>
          <w:color w:val="00000A"/>
          <w:sz w:val="21"/>
          <w:szCs w:val="21"/>
          <w:lang w:eastAsia="it-IT"/>
        </w:rPr>
        <w:t xml:space="preserve"> n. 50/2016</w:t>
      </w:r>
    </w:p>
    <w:p w:rsidR="00130D66" w:rsidRDefault="00D47829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Il sottoscritto ___________________________________, nato a _____________________ (_____) il ___________________, CF _______________________________________________________ residente a _______________________ in Via ________________________________ n° ____</w:t>
      </w: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___, 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nella mia qualità di </w:t>
      </w:r>
      <w:r>
        <w:rPr>
          <w:rFonts w:ascii="Times New Roman" w:eastAsia="Times New Roman" w:hAnsi="Times New Roman" w:cs="Times New Roman"/>
          <w:bCs/>
          <w:color w:val="00000A"/>
          <w:sz w:val="21"/>
          <w:szCs w:val="21"/>
          <w:lang w:eastAsia="it-IT"/>
        </w:rPr>
        <w:t>_______________________________________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dell’Impresa </w:t>
      </w:r>
      <w:r>
        <w:rPr>
          <w:rFonts w:ascii="Times New Roman" w:eastAsia="Times New Roman" w:hAnsi="Times New Roman" w:cs="Times New Roman"/>
          <w:i/>
          <w:iCs/>
          <w:color w:val="00000A"/>
          <w:sz w:val="21"/>
          <w:szCs w:val="21"/>
          <w:lang w:eastAsia="it-IT"/>
        </w:rPr>
        <w:t>(Denominazione/ Ragione Sociale)</w:t>
      </w: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 :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________________________________________________________________________________ con sede in _____________________________, Via </w:t>
      </w: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_________________________ n° ________, codice fiscale __________________________  partita I.V.A. ______________________________,</w:t>
      </w:r>
    </w:p>
    <w:p w:rsidR="00130D66" w:rsidRDefault="00130D66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color w:val="00000A"/>
          <w:sz w:val="21"/>
          <w:szCs w:val="21"/>
          <w:lang w:eastAsia="it-IT"/>
        </w:rPr>
      </w:pPr>
    </w:p>
    <w:p w:rsidR="00130D66" w:rsidRDefault="00D47829">
      <w:pPr>
        <w:spacing w:after="0" w:line="288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it-IT"/>
        </w:rPr>
        <w:t xml:space="preserve">nel rispetto di quanto disposto dagli articoli 46 e 47 del D.P.R. N. 445/2000 e </w:t>
      </w:r>
      <w:proofErr w:type="spellStart"/>
      <w:r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it-IT"/>
        </w:rPr>
        <w:t xml:space="preserve">, e consapevole della responsabilità in </w:t>
      </w:r>
      <w:r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it-IT"/>
        </w:rPr>
        <w:t xml:space="preserve">caso di affermazioni mendaci e delle relative sanzioni penali di cui all’art. 75 e 76 del medesimo D.P.R. 445/2000 e </w:t>
      </w:r>
      <w:proofErr w:type="spellStart"/>
      <w:r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iCs/>
          <w:color w:val="FF0000"/>
          <w:sz w:val="21"/>
          <w:szCs w:val="21"/>
          <w:lang w:eastAsia="it-IT"/>
        </w:rPr>
        <w:t>,</w:t>
      </w:r>
    </w:p>
    <w:p w:rsidR="00130D66" w:rsidRDefault="00D47829">
      <w:pPr>
        <w:spacing w:before="120" w:after="120" w:line="288" w:lineRule="auto"/>
        <w:ind w:firstLine="340"/>
        <w:jc w:val="center"/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iCs/>
          <w:color w:val="00000A"/>
          <w:sz w:val="21"/>
          <w:szCs w:val="21"/>
          <w:lang w:eastAsia="it-IT"/>
        </w:rPr>
        <w:t>DICHIARA</w:t>
      </w:r>
    </w:p>
    <w:p w:rsidR="00130D66" w:rsidRDefault="00D47829">
      <w:pPr>
        <w:widowControl w:val="0"/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a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) 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ab/>
        <w:t>che nei propri confronti e nei confronti dei soggetti indicati al comma 3 dell’art. 80 non sussistono cause di decaden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za, di sospensione o di divieto previste dall’articolo 67 del decreto legislativo 6 settembre 2011, n. 159 o di un tentativo di infiltrazione mafiosa di cui all’art. 84, comma 4 del medesimo decreto e di non avere pendenti procedimenti per l’applicazione d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elle misure di prevenzione della sorveglianza 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 xml:space="preserve">(tale dichiarazione deve essere resa dal titolare e dal direttore tecnico, se si tratta di impresa individuale; da un socio e dal direttore tecnico, se si tratta di società in nome collettivo; dai soci 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 xml:space="preserve">accomandatari e dal direttore tecnico, se si tratta di società in accomandita semplice; dai membri del consiglio di amministrazione cui sia stata conferita la legale rappresentanza ivi compresi institori e procuratori generali, dei membri degli organi con 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poteri di direzione o di vigilanza e dai soggetti muniti di poteri di rappresentanza, di direzione o di controllo, dal direttore tecnico e dal socio unico persona fisica, ovvero dal socio di maggioranza in caso di società con meno di quattro soci, se si tr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atta di altro tipo di società o consorzio);</w:t>
      </w:r>
    </w:p>
    <w:p w:rsidR="00130D66" w:rsidRDefault="00130D66">
      <w:pPr>
        <w:widowControl w:val="0"/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</w:p>
    <w:p w:rsidR="00130D66" w:rsidRDefault="00D47829">
      <w:pPr>
        <w:widowControl w:val="0"/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)</w:t>
      </w:r>
      <w:r>
        <w:rPr>
          <w:rFonts w:ascii="Times-Roman" w:eastAsia="HiraKakuProN-W3" w:hAnsi="Times-Roman" w:cs="Times-Roman"/>
          <w:b/>
          <w:bCs/>
          <w:sz w:val="20"/>
          <w:szCs w:val="20"/>
          <w:lang w:eastAsia="it-IT"/>
        </w:rPr>
        <w:t xml:space="preserve"> </w:t>
      </w:r>
      <w:r>
        <w:rPr>
          <w:rFonts w:ascii="Times-Roman" w:eastAsia="HiraKakuProN-W3" w:hAnsi="Times-Roman" w:cs="Times-Roman"/>
          <w:b/>
          <w:b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di non aver subito condanna con sentenza definitiva o decreto penale di condanna divenuto irrevocabile o sentenza di applicazione della pena su richiesta ai sensi dell’articolo 444 del codice di procedura pe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nale, per uno dei seguenti reati: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delitti, consumati o tentati, di cui agli articoli 416, 416-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bis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 del codice penale ovvero delitti commessi avvalendosi delle condizioni previste dal predetto articolo 416-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bis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 ovvero al fine di agevolare l’attività delle a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ssociazioni previste 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lastRenderedPageBreak/>
        <w:t xml:space="preserve">dallo stesso articolo, nonché per i delitti, consumati o tentati, previsti dall’articolo 74 del </w:t>
      </w:r>
      <w:proofErr w:type="spellStart"/>
      <w:r>
        <w:rPr>
          <w:rFonts w:ascii="Times-Roman" w:eastAsia="HiraKakuProN-W3" w:hAnsi="Times-Roman" w:cs="Times-Roman"/>
          <w:sz w:val="20"/>
          <w:szCs w:val="20"/>
          <w:lang w:eastAsia="it-IT"/>
        </w:rPr>
        <w:t>d.P.R.</w:t>
      </w:r>
      <w:proofErr w:type="spellEnd"/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 9 ottobre 1990, n. 309, dall’articolo 291-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quater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 del </w:t>
      </w:r>
      <w:proofErr w:type="spellStart"/>
      <w:r>
        <w:rPr>
          <w:rFonts w:ascii="Times-Roman" w:eastAsia="HiraKakuProN-W3" w:hAnsi="Times-Roman" w:cs="Times-Roman"/>
          <w:sz w:val="20"/>
          <w:szCs w:val="20"/>
          <w:lang w:eastAsia="it-IT"/>
        </w:rPr>
        <w:t>d.P.R.</w:t>
      </w:r>
      <w:proofErr w:type="spellEnd"/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 23 gennaio 1973, n. 43 e dall’articolo 260 del decreto legislativo 3 apr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ile 2006, n. 152, in quanto riconducibili alla partecipazione a un’organizzazione criminale, quale definita all’articolo 2 della decisione quadro 2008/841/GAI del Consiglio; 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delitti, consumati o tentati, di cui agli articoli 317, 318, 319, 319-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ter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, 319-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quater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, 320, 321, 322, 322-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bis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, 346-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bis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, 353, 353-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bis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, 354, 355 e 356 del codice penale nonché all’art. 2635 del codice civile;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false comunicazioni sociali di cui agli articoli 2621 e 2622 del codice civile;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frode ai sensi dell’articolo 1 della convenz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ione relativa alla tutela degli interessi finanziari delle Comunità europee;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delitti, consumati o tentati, commessi con finalità di terrorismo, anche internazionale, e di eversione dell’ordine costituzionale reati terroristici o reati connessi alle attiv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ità terroristiche;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delitti di cui agli articoli 648-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bis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, 648-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ter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 xml:space="preserve"> e 648-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>ter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.1 del codice penale, riciclaggio di proventi di attività criminose o finanziamento del terrorismo, quali definiti all’articolo 1 del decreto legislativo 22 giugno 2007, n. 109 e s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uccessive modificazioni;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sfruttamento del lavoro minorile e altre forme di tratta di esseri umani definite con il decreto legislativo 4 marzo 2014, n. 24;</w:t>
      </w:r>
    </w:p>
    <w:p w:rsidR="00130D66" w:rsidRDefault="00D47829">
      <w:pPr>
        <w:widowControl w:val="0"/>
        <w:tabs>
          <w:tab w:val="left" w:pos="567"/>
        </w:tabs>
        <w:spacing w:after="0" w:line="288" w:lineRule="auto"/>
        <w:ind w:right="-6" w:firstLine="284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•</w:t>
      </w:r>
      <w:r>
        <w:rPr>
          <w:rFonts w:ascii="Times-Roman" w:eastAsia="HiraKakuProN-W3" w:hAnsi="Times-Roman" w:cs="Times-Roman"/>
          <w:i/>
          <w:iCs/>
          <w:sz w:val="20"/>
          <w:szCs w:val="20"/>
          <w:lang w:eastAsia="it-IT"/>
        </w:rPr>
        <w:tab/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ogni altro delitto da cui derivi, quale pena accessoria, l’incapacità di contrattare con la pubbl</w:t>
      </w:r>
      <w:r>
        <w:rPr>
          <w:rFonts w:ascii="Times-Roman" w:eastAsia="HiraKakuProN-W3" w:hAnsi="Times-Roman" w:cs="Times-Roman"/>
          <w:sz w:val="20"/>
          <w:szCs w:val="20"/>
          <w:lang w:eastAsia="it-IT"/>
        </w:rPr>
        <w:t>ica amministrazione;</w:t>
      </w:r>
    </w:p>
    <w:p w:rsidR="00130D66" w:rsidRDefault="00130D66">
      <w:pPr>
        <w:widowControl w:val="0"/>
        <w:tabs>
          <w:tab w:val="left" w:pos="-2340"/>
        </w:tabs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b/>
          <w:color w:val="FF0000"/>
          <w:sz w:val="20"/>
          <w:szCs w:val="20"/>
          <w:lang w:eastAsia="it-IT"/>
        </w:rPr>
      </w:pPr>
    </w:p>
    <w:p w:rsidR="00130D66" w:rsidRDefault="00D47829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Data ..............................</w:t>
      </w:r>
    </w:p>
    <w:p w:rsidR="00130D66" w:rsidRDefault="00130D66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</w:p>
    <w:p w:rsidR="00130D66" w:rsidRDefault="00130D66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</w:p>
    <w:p w:rsidR="00130D66" w:rsidRDefault="00D47829">
      <w:pPr>
        <w:widowControl w:val="0"/>
        <w:spacing w:after="0" w:line="288" w:lineRule="auto"/>
        <w:ind w:left="6372" w:right="-6" w:firstLine="340"/>
        <w:jc w:val="center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FIRMA</w:t>
      </w:r>
    </w:p>
    <w:p w:rsidR="00130D66" w:rsidRDefault="00D47829">
      <w:pPr>
        <w:widowControl w:val="0"/>
        <w:spacing w:after="0" w:line="288" w:lineRule="auto"/>
        <w:ind w:left="7080" w:right="-6" w:firstLine="340"/>
        <w:jc w:val="center"/>
        <w:rPr>
          <w:rFonts w:ascii="Times-Roman" w:eastAsia="HiraKakuProN-W3" w:hAnsi="Times-Roman" w:cs="Times-Roman"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sz w:val="20"/>
          <w:szCs w:val="20"/>
          <w:lang w:eastAsia="it-IT"/>
        </w:rPr>
        <w:t>..............................</w:t>
      </w:r>
    </w:p>
    <w:p w:rsidR="00130D66" w:rsidRDefault="00130D66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</w:p>
    <w:p w:rsidR="00130D66" w:rsidRDefault="00130D66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b/>
          <w:bCs/>
          <w:i/>
          <w:iCs/>
          <w:sz w:val="20"/>
          <w:szCs w:val="20"/>
          <w:lang w:eastAsia="it-IT"/>
        </w:rPr>
      </w:pPr>
    </w:p>
    <w:p w:rsidR="00130D66" w:rsidRDefault="00D47829">
      <w:pPr>
        <w:widowControl w:val="0"/>
        <w:spacing w:after="0" w:line="288" w:lineRule="auto"/>
        <w:ind w:right="-6"/>
        <w:jc w:val="both"/>
        <w:rPr>
          <w:rFonts w:ascii="Times-Roman" w:eastAsia="HiraKakuProN-W3" w:hAnsi="Times-Roman" w:cs="Times-Roman"/>
          <w:b/>
          <w:bCs/>
          <w:i/>
          <w:iCs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b/>
          <w:bCs/>
          <w:i/>
          <w:iCs/>
          <w:sz w:val="20"/>
          <w:szCs w:val="20"/>
          <w:lang w:eastAsia="it-IT"/>
        </w:rPr>
        <w:t>Attenzione: ALLEGARE LA FOTOCOPIA DI UN DOCUMENTO DI IDENTITÀ IN CORSO DI VALIDITÀ DEL DICHIARANTE.</w:t>
      </w:r>
    </w:p>
    <w:p w:rsidR="00130D66" w:rsidRDefault="00130D66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</w:p>
    <w:p w:rsidR="00130D66" w:rsidRDefault="00130D66">
      <w:pPr>
        <w:widowControl w:val="0"/>
        <w:spacing w:after="0" w:line="288" w:lineRule="auto"/>
        <w:ind w:right="-6" w:firstLine="340"/>
        <w:jc w:val="center"/>
        <w:rPr>
          <w:rFonts w:ascii="Times-Roman" w:eastAsia="HiraKakuProN-W3" w:hAnsi="Times-Roman" w:cs="Times-Roman"/>
          <w:b/>
          <w:bCs/>
          <w:sz w:val="20"/>
          <w:szCs w:val="20"/>
          <w:lang w:eastAsia="it-IT"/>
        </w:rPr>
      </w:pPr>
    </w:p>
    <w:p w:rsidR="00130D66" w:rsidRDefault="00D47829">
      <w:pPr>
        <w:widowControl w:val="0"/>
        <w:spacing w:after="0" w:line="288" w:lineRule="auto"/>
        <w:ind w:right="-6" w:firstLine="340"/>
        <w:jc w:val="center"/>
        <w:rPr>
          <w:rFonts w:ascii="Times-Roman" w:eastAsia="HiraKakuProN-W3" w:hAnsi="Times-Roman" w:cs="Times-Roman"/>
          <w:b/>
          <w:bCs/>
          <w:sz w:val="20"/>
          <w:szCs w:val="20"/>
          <w:lang w:eastAsia="it-IT"/>
        </w:rPr>
      </w:pPr>
      <w:r>
        <w:rPr>
          <w:rFonts w:ascii="Times-Roman" w:eastAsia="HiraKakuProN-W3" w:hAnsi="Times-Roman" w:cs="Times-Roman"/>
          <w:b/>
          <w:bCs/>
          <w:sz w:val="20"/>
          <w:szCs w:val="20"/>
          <w:lang w:eastAsia="it-IT"/>
        </w:rPr>
        <w:t>RISERVATEZZA</w:t>
      </w:r>
    </w:p>
    <w:p w:rsidR="00130D66" w:rsidRDefault="00130D66">
      <w:pPr>
        <w:widowControl w:val="0"/>
        <w:spacing w:after="0" w:line="288" w:lineRule="auto"/>
        <w:ind w:right="-6" w:firstLine="340"/>
        <w:jc w:val="both"/>
        <w:rPr>
          <w:rFonts w:ascii="Times-Roman" w:eastAsia="HiraKakuProN-W3" w:hAnsi="Times-Roman" w:cs="Times-Roman"/>
          <w:sz w:val="20"/>
          <w:szCs w:val="20"/>
          <w:lang w:eastAsia="it-IT"/>
        </w:rPr>
      </w:pP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Ai sensi del d.lgs. 196/2003 (Codice Privacy) si informa che: 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a) le finalità e le modalità di trattamento cui sono destinati i dati raccolti ineriscono al procedimento in oggetto;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b) il conferimento dei dati costituisce presupposto necessario per la parte</w:t>
      </w: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cipazione alla gara; 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c) l’eventuale rifiuto a rispondere comporta esclusione dal procedimento in oggetto; 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d) i soggetti o le categorie di soggetti ai quali i dati possono essere comunicati sono: il personale interno dell’Amministrazione implicato nel procedimento, ogni altro soggetto che abbia interesse ai sensi della legge 241/1990, i soggetti destinatari del</w:t>
      </w: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le comunicazioni previste dalla legge in materia di contratti pubblici, gli organi dell’autorità giudiziaria; 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 xml:space="preserve">e) i diritti spettanti all’interessato sono quelli di cui all’art. 7 del d.lgs. 196/2003; </w:t>
      </w:r>
    </w:p>
    <w:p w:rsidR="00130D66" w:rsidRDefault="00D47829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f) soggetto attivo nella raccolta dei dati è la Fondaz</w:t>
      </w:r>
      <w:r>
        <w:rPr>
          <w:rFonts w:ascii="Times New Roman" w:eastAsia="Times New Roman" w:hAnsi="Times New Roman" w:cs="Times New Roman"/>
          <w:color w:val="00000A"/>
          <w:sz w:val="21"/>
          <w:szCs w:val="21"/>
          <w:lang w:eastAsia="it-IT"/>
        </w:rPr>
        <w:t>ione lirico sinfonica Petruzzelli e Teatri di Bari.</w:t>
      </w:r>
    </w:p>
    <w:p w:rsidR="00130D66" w:rsidRDefault="00130D66"/>
    <w:sectPr w:rsidR="00130D6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iraKakuProN-W3">
    <w:panose1 w:val="00000000000000000000"/>
    <w:charset w:val="00"/>
    <w:family w:val="roman"/>
    <w:notTrueType/>
    <w:pitch w:val="default"/>
  </w:font>
  <w:font w:name="Times-Roman">
    <w:altName w:val="Times New Roman"/>
    <w:charset w:val="01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66"/>
    <w:rsid w:val="00130D66"/>
    <w:rsid w:val="00461922"/>
    <w:rsid w:val="00D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Times New Roman" w:hAnsi="Times New Roman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> </cp:lastModifiedBy>
  <cp:revision>2</cp:revision>
  <dcterms:created xsi:type="dcterms:W3CDTF">2017-11-24T08:49:00Z</dcterms:created>
  <dcterms:modified xsi:type="dcterms:W3CDTF">2017-11-24T08:49:00Z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